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7ADE" w14:textId="77777777" w:rsidR="00E52E30" w:rsidRPr="002726C3" w:rsidRDefault="00E52E30" w:rsidP="002726C3">
      <w:pPr>
        <w:pStyle w:val="Heading1"/>
      </w:pPr>
      <w:r w:rsidRPr="002726C3">
        <w:t>TASK 1: PLANNING COMMENTARY</w:t>
      </w:r>
    </w:p>
    <w:p w14:paraId="14AA6A6C" w14:textId="77777777" w:rsidR="000031D4" w:rsidRPr="00AC30D6" w:rsidRDefault="000031D4" w:rsidP="000031D4">
      <w:pPr>
        <w:pStyle w:val="TPACbox"/>
        <w:spacing w:before="0"/>
        <w:ind w:left="0"/>
        <w:rPr>
          <w:rFonts w:ascii="Arial Narrow" w:hAnsi="Arial Narrow"/>
          <w:b/>
          <w:sz w:val="20"/>
        </w:rPr>
      </w:pPr>
      <w:r w:rsidRPr="00AC30D6">
        <w:rPr>
          <w:rFonts w:ascii="Arial Narrow" w:hAnsi="Arial Narrow"/>
          <w:sz w:val="20"/>
        </w:rPr>
        <w:t>Respond to the prompts below (</w:t>
      </w:r>
      <w:r w:rsidRPr="00AC30D6">
        <w:rPr>
          <w:rFonts w:ascii="Arial Narrow" w:hAnsi="Arial Narrow"/>
          <w:b/>
          <w:sz w:val="20"/>
        </w:rPr>
        <w:t xml:space="preserve">no more than </w:t>
      </w:r>
      <w:r w:rsidRPr="00AC30D6">
        <w:rPr>
          <w:rFonts w:ascii="Arial Narrow" w:hAnsi="Arial Narrow"/>
          <w:b/>
          <w:sz w:val="20"/>
        </w:rPr>
        <w:fldChar w:fldCharType="begin"/>
      </w:r>
      <w:r w:rsidRPr="00AC30D6">
        <w:rPr>
          <w:rFonts w:ascii="Arial Narrow" w:hAnsi="Arial Narrow"/>
          <w:b/>
          <w:sz w:val="20"/>
        </w:rPr>
        <w:instrText xml:space="preserve"> COMMENTS   \* MERGEFORMAT </w:instrText>
      </w:r>
      <w:r w:rsidRPr="00AC30D6">
        <w:rPr>
          <w:rFonts w:ascii="Arial Narrow" w:hAnsi="Arial Narrow"/>
          <w:b/>
          <w:sz w:val="20"/>
        </w:rPr>
        <w:fldChar w:fldCharType="separate"/>
      </w:r>
      <w:r w:rsidR="00002EBD">
        <w:rPr>
          <w:rFonts w:ascii="Arial Narrow" w:hAnsi="Arial Narrow"/>
          <w:b/>
          <w:sz w:val="20"/>
        </w:rPr>
        <w:t>9</w:t>
      </w:r>
      <w:r w:rsidRPr="00AC30D6">
        <w:rPr>
          <w:rFonts w:ascii="Arial Narrow" w:hAnsi="Arial Narrow"/>
          <w:b/>
          <w:sz w:val="20"/>
        </w:rPr>
        <w:fldChar w:fldCharType="end"/>
      </w:r>
      <w:r w:rsidRPr="00AC30D6">
        <w:rPr>
          <w:rFonts w:ascii="Arial Narrow" w:hAnsi="Arial Narrow"/>
          <w:b/>
          <w:sz w:val="20"/>
        </w:rPr>
        <w:t xml:space="preserve"> single-</w:t>
      </w:r>
      <w:proofErr w:type="gramStart"/>
      <w:r w:rsidRPr="00AC30D6">
        <w:rPr>
          <w:rFonts w:ascii="Arial Narrow" w:hAnsi="Arial Narrow"/>
          <w:b/>
          <w:sz w:val="20"/>
        </w:rPr>
        <w:t>spaced</w:t>
      </w:r>
      <w:proofErr w:type="gramEnd"/>
      <w:r w:rsidRPr="00AC30D6">
        <w:rPr>
          <w:rFonts w:ascii="Arial Narrow" w:hAnsi="Arial Narrow"/>
          <w:b/>
          <w:sz w:val="20"/>
        </w:rPr>
        <w:t xml:space="preserve"> pages, including prompts</w:t>
      </w:r>
      <w:r w:rsidRPr="00BA17AF">
        <w:rPr>
          <w:rFonts w:ascii="Arial Narrow" w:hAnsi="Arial Narrow"/>
          <w:sz w:val="20"/>
        </w:rPr>
        <w:t>)</w:t>
      </w:r>
      <w:r w:rsidRPr="00AC30D6">
        <w:rPr>
          <w:rFonts w:ascii="Arial Narrow" w:hAnsi="Arial Narrow"/>
          <w:sz w:val="20"/>
        </w:rPr>
        <w:t xml:space="preserve"> by typing your responses within the brackets. Do not delete or alter the prompts. Pages exceeding the maximum will not be scored.</w:t>
      </w:r>
    </w:p>
    <w:p w14:paraId="68C1678E" w14:textId="77777777" w:rsidR="00002EBD" w:rsidRPr="002726C3" w:rsidRDefault="00002EBD" w:rsidP="002726C3">
      <w:pPr>
        <w:pStyle w:val="Heading2"/>
      </w:pPr>
      <w:r w:rsidRPr="002726C3">
        <w:t>1.</w:t>
      </w:r>
      <w:r w:rsidRPr="002726C3">
        <w:tab/>
        <w:t>Central Focus</w:t>
      </w:r>
    </w:p>
    <w:p w14:paraId="5EAEA6E0" w14:textId="77777777" w:rsidR="00002EBD" w:rsidRPr="00F573FE" w:rsidRDefault="00002EBD" w:rsidP="00002EBD">
      <w:pPr>
        <w:pStyle w:val="TPAClistlettered"/>
      </w:pPr>
      <w:r w:rsidRPr="00F573FE">
        <w:t>a.</w:t>
      </w:r>
      <w:r w:rsidRPr="00F573FE">
        <w:tab/>
        <w:t xml:space="preserve">Describe the central focus and purpose </w:t>
      </w:r>
      <w:r>
        <w:t>of</w:t>
      </w:r>
      <w:r w:rsidRPr="00F573FE">
        <w:t xml:space="preserve"> the content you will teach in th</w:t>
      </w:r>
      <w:r>
        <w:t>e</w:t>
      </w:r>
      <w:r w:rsidRPr="00F573FE">
        <w:t xml:space="preserve"> learning segment.</w:t>
      </w:r>
    </w:p>
    <w:p w14:paraId="6D44B59D" w14:textId="77777777" w:rsidR="00002EBD" w:rsidRDefault="00002EBD" w:rsidP="00002EBD">
      <w:pPr>
        <w:pStyle w:val="Brackets"/>
      </w:pPr>
      <w:r>
        <w:t>[  ]</w:t>
      </w:r>
    </w:p>
    <w:p w14:paraId="7FF84ADB" w14:textId="77777777" w:rsidR="00002EBD" w:rsidRPr="00F573FE" w:rsidRDefault="00002EBD" w:rsidP="00002EBD">
      <w:pPr>
        <w:pStyle w:val="TPAClistlettered"/>
        <w:rPr>
          <w:b/>
        </w:rPr>
      </w:pPr>
      <w:r w:rsidRPr="00F573FE">
        <w:t>b.</w:t>
      </w:r>
      <w:r w:rsidRPr="00F573FE">
        <w:tab/>
        <w:t xml:space="preserve">Given the central focus, describe how the standards and learning objectives within your learning segment address students’ </w:t>
      </w:r>
      <w:r w:rsidRPr="00F573FE">
        <w:rPr>
          <w:b/>
        </w:rPr>
        <w:t>development of communicative proficiency in the target language</w:t>
      </w:r>
    </w:p>
    <w:p w14:paraId="735CB974" w14:textId="77777777" w:rsidR="00002EBD" w:rsidRPr="00F573FE" w:rsidRDefault="00002EBD" w:rsidP="5E582712">
      <w:pPr>
        <w:pStyle w:val="TPAClistbullet1"/>
      </w:pPr>
      <w:r>
        <w:t xml:space="preserve">in meaningful cultural context(s) </w:t>
      </w:r>
    </w:p>
    <w:p w14:paraId="474387C2" w14:textId="77777777" w:rsidR="00002EBD" w:rsidRPr="00F573FE" w:rsidRDefault="00002EBD" w:rsidP="00002EBD">
      <w:pPr>
        <w:pStyle w:val="TPAClistbullet1"/>
        <w:numPr>
          <w:ilvl w:val="0"/>
          <w:numId w:val="24"/>
        </w:numPr>
        <w:ind w:left="1080"/>
      </w:pPr>
      <w:r w:rsidRPr="00F573FE">
        <w:t>with a focus on all</w:t>
      </w:r>
      <w:r w:rsidRPr="009439CF">
        <w:t xml:space="preserve"> </w:t>
      </w:r>
      <w:r w:rsidRPr="00662F65">
        <w:t xml:space="preserve">three </w:t>
      </w:r>
      <w:r w:rsidRPr="00002EBD">
        <w:t>modes of communication</w:t>
      </w:r>
      <w:r w:rsidRPr="00F573FE">
        <w:t>:</w:t>
      </w:r>
      <w:r w:rsidRPr="00414973">
        <w:rPr>
          <w:rStyle w:val="FootnoteReference"/>
          <w:szCs w:val="18"/>
        </w:rPr>
        <w:footnoteReference w:id="1"/>
      </w:r>
    </w:p>
    <w:p w14:paraId="04BBF79F" w14:textId="77777777" w:rsidR="00002EBD" w:rsidRPr="00F573FE" w:rsidRDefault="00002EBD" w:rsidP="00002EBD">
      <w:pPr>
        <w:pStyle w:val="TPAClistbullet1"/>
        <w:numPr>
          <w:ilvl w:val="0"/>
          <w:numId w:val="24"/>
        </w:numPr>
        <w:tabs>
          <w:tab w:val="num" w:pos="1440"/>
        </w:tabs>
        <w:ind w:left="1440"/>
      </w:pPr>
      <w:r w:rsidRPr="00F573FE">
        <w:t xml:space="preserve">Interpretive </w:t>
      </w:r>
    </w:p>
    <w:p w14:paraId="3A172F95" w14:textId="77777777" w:rsidR="00002EBD" w:rsidRPr="00F573FE" w:rsidRDefault="00002EBD" w:rsidP="00002EBD">
      <w:pPr>
        <w:pStyle w:val="TPAClistbullet1"/>
        <w:numPr>
          <w:ilvl w:val="0"/>
          <w:numId w:val="24"/>
        </w:numPr>
        <w:tabs>
          <w:tab w:val="num" w:pos="1440"/>
        </w:tabs>
        <w:ind w:left="1440"/>
      </w:pPr>
      <w:r w:rsidRPr="00F573FE">
        <w:t xml:space="preserve">Interpersonal </w:t>
      </w:r>
    </w:p>
    <w:p w14:paraId="26893009" w14:textId="77777777" w:rsidR="00002EBD" w:rsidRPr="00F573FE" w:rsidRDefault="00002EBD" w:rsidP="00002EBD">
      <w:pPr>
        <w:pStyle w:val="TPAClistbullet1"/>
        <w:numPr>
          <w:ilvl w:val="0"/>
          <w:numId w:val="24"/>
        </w:numPr>
        <w:tabs>
          <w:tab w:val="num" w:pos="1440"/>
        </w:tabs>
        <w:ind w:left="1440"/>
      </w:pPr>
      <w:r w:rsidRPr="00F573FE">
        <w:t>Presentational</w:t>
      </w:r>
    </w:p>
    <w:p w14:paraId="780498FD" w14:textId="77777777" w:rsidR="00002EBD" w:rsidRDefault="00002EBD" w:rsidP="00002EBD">
      <w:pPr>
        <w:pStyle w:val="Brackets"/>
      </w:pPr>
      <w:r>
        <w:t>[  ]</w:t>
      </w:r>
    </w:p>
    <w:p w14:paraId="636E2C4D" w14:textId="77777777" w:rsidR="00002EBD" w:rsidRPr="00F573FE" w:rsidRDefault="00002EBD" w:rsidP="00002EBD">
      <w:pPr>
        <w:pStyle w:val="TPAClistlettered"/>
      </w:pPr>
      <w:r w:rsidRPr="00F573FE">
        <w:t>c.</w:t>
      </w:r>
      <w:r w:rsidRPr="00F573FE">
        <w:tab/>
        <w:t xml:space="preserve">Explain how your plans </w:t>
      </w:r>
      <w:proofErr w:type="gramStart"/>
      <w:r w:rsidRPr="00F573FE">
        <w:rPr>
          <w:b/>
        </w:rPr>
        <w:t>build</w:t>
      </w:r>
      <w:proofErr w:type="gramEnd"/>
      <w:r w:rsidRPr="00F573FE">
        <w:rPr>
          <w:b/>
        </w:rPr>
        <w:t xml:space="preserve"> on each other and make connections</w:t>
      </w:r>
      <w:r w:rsidRPr="00F573FE">
        <w:t xml:space="preserve"> between </w:t>
      </w:r>
      <w:r w:rsidRPr="00002EBD">
        <w:t>language forms</w:t>
      </w:r>
      <w:r w:rsidRPr="00F573FE">
        <w:t xml:space="preserve"> and </w:t>
      </w:r>
      <w:r w:rsidRPr="00002EBD">
        <w:t>language functions</w:t>
      </w:r>
      <w:r w:rsidRPr="00F573FE">
        <w:t xml:space="preserve"> to help students develop communicative proficiency in the target languag</w:t>
      </w:r>
      <w:r w:rsidRPr="00693CE8">
        <w:t xml:space="preserve">e </w:t>
      </w:r>
      <w:r w:rsidRPr="00D953BC">
        <w:t>within</w:t>
      </w:r>
      <w:r w:rsidRPr="00F573FE">
        <w:t xml:space="preserve"> meaningful cultural context(s). </w:t>
      </w:r>
    </w:p>
    <w:p w14:paraId="14A672B2" w14:textId="77777777" w:rsidR="00002EBD" w:rsidRPr="00F573FE" w:rsidRDefault="00002EBD" w:rsidP="00002EBD">
      <w:pPr>
        <w:pStyle w:val="TPACbox"/>
        <w:ind w:left="720"/>
      </w:pPr>
      <w:r>
        <w:t xml:space="preserve">Consider how you </w:t>
      </w:r>
      <w:r w:rsidRPr="17E526C0">
        <w:rPr>
          <w:b/>
          <w:bCs/>
        </w:rPr>
        <w:t>make connections</w:t>
      </w:r>
      <w:r>
        <w:t xml:space="preserve"> between language forms (e.g., vocabulary and grammar) and the accomplishment of language functions (e.g., expressing self, greeting others, introducing family members and friends, ordering food, giving advice). </w:t>
      </w:r>
    </w:p>
    <w:p w14:paraId="508ADFA5" w14:textId="77777777" w:rsidR="00002EBD" w:rsidRDefault="00002EBD" w:rsidP="00002EBD">
      <w:pPr>
        <w:pStyle w:val="Brackets"/>
      </w:pPr>
      <w:r>
        <w:t>[  ]</w:t>
      </w:r>
    </w:p>
    <w:p w14:paraId="7AB293A1" w14:textId="77777777" w:rsidR="00002EBD" w:rsidRPr="00F573FE" w:rsidRDefault="00002EBD" w:rsidP="002726C3">
      <w:pPr>
        <w:pStyle w:val="Heading2"/>
      </w:pPr>
      <w:r w:rsidRPr="00F573FE">
        <w:t>2.</w:t>
      </w:r>
      <w:r w:rsidRPr="00F573FE">
        <w:tab/>
        <w:t>Knowledge of Students to Inform Teaching</w:t>
      </w:r>
    </w:p>
    <w:p w14:paraId="2FD68DC3" w14:textId="77777777" w:rsidR="00002EBD" w:rsidRPr="00F573FE" w:rsidRDefault="00002EBD" w:rsidP="00002EBD">
      <w:pPr>
        <w:pStyle w:val="TPAClistlettered1"/>
        <w:ind w:left="360" w:firstLine="0"/>
        <w:rPr>
          <w:szCs w:val="22"/>
        </w:rPr>
      </w:pPr>
      <w:r w:rsidRPr="00F573FE">
        <w:rPr>
          <w:szCs w:val="22"/>
        </w:rPr>
        <w:t xml:space="preserve">For each of the prompts below (2a–b), describe what you know about </w:t>
      </w:r>
      <w:r w:rsidRPr="00F573FE">
        <w:rPr>
          <w:b/>
          <w:szCs w:val="22"/>
        </w:rPr>
        <w:t>your</w:t>
      </w:r>
      <w:r w:rsidRPr="00F573FE">
        <w:rPr>
          <w:szCs w:val="22"/>
        </w:rPr>
        <w:t xml:space="preserve"> students with respect to the central focus of the learning segment. </w:t>
      </w:r>
    </w:p>
    <w:p w14:paraId="5509387F" w14:textId="5072ABB4" w:rsidR="00002EBD" w:rsidRPr="00F573FE" w:rsidRDefault="00002EBD" w:rsidP="00002EBD">
      <w:pPr>
        <w:pStyle w:val="TPACbox"/>
      </w:pPr>
      <w:r w:rsidRPr="00F573FE">
        <w:t xml:space="preserve">Consider the </w:t>
      </w:r>
      <w:r w:rsidRPr="00002EBD">
        <w:t>variety of learners</w:t>
      </w:r>
      <w:r w:rsidRPr="00F573FE">
        <w:t xml:space="preserve"> in your class who may require different strategies/support (e.g., students with IEPs</w:t>
      </w:r>
      <w:r>
        <w:t xml:space="preserve"> </w:t>
      </w:r>
      <w:r w:rsidRPr="00662F65">
        <w:t>or 504 plans</w:t>
      </w:r>
      <w:r w:rsidRPr="00F573FE">
        <w:t>, English learners, readers who struggle in their first language, students at varying levels of language proficiency, students who are underperforming or those with gaps in academic knowledge,</w:t>
      </w:r>
      <w:r>
        <w:t xml:space="preserve"> heritage-language speakers,</w:t>
      </w:r>
      <w:r w:rsidRPr="00F573FE">
        <w:t xml:space="preserve"> and/or gifted students</w:t>
      </w:r>
      <w:r>
        <w:t>)</w:t>
      </w:r>
      <w:r w:rsidRPr="00F573FE">
        <w:t>.</w:t>
      </w:r>
    </w:p>
    <w:p w14:paraId="5DC944FD" w14:textId="72C7D4F5" w:rsidR="00002EBD" w:rsidRPr="00D953BC" w:rsidRDefault="00002EBD" w:rsidP="00002EBD">
      <w:pPr>
        <w:pStyle w:val="TPAClistlettered"/>
        <w:rPr>
          <w:b/>
        </w:rPr>
      </w:pPr>
      <w:r w:rsidRPr="00F573FE">
        <w:t>a.</w:t>
      </w:r>
      <w:r w:rsidRPr="00F573FE">
        <w:tab/>
      </w:r>
      <w:r w:rsidRPr="00002EBD">
        <w:t>Prior academic learning</w:t>
      </w:r>
      <w:bookmarkStart w:id="0" w:name="_Hlk189840550"/>
      <w:r w:rsidRPr="00002EBD">
        <w:t xml:space="preserve"> and</w:t>
      </w:r>
      <w:r w:rsidR="00530D0F">
        <w:t>/or</w:t>
      </w:r>
      <w:r w:rsidRPr="00002EBD">
        <w:t xml:space="preserve"> prerequisite skills</w:t>
      </w:r>
      <w:r w:rsidRPr="00F573FE">
        <w:t xml:space="preserve"> </w:t>
      </w:r>
      <w:bookmarkEnd w:id="0"/>
      <w:r w:rsidRPr="00F573FE">
        <w:t>related to the central focus—</w:t>
      </w:r>
      <w:r w:rsidRPr="00662F65">
        <w:rPr>
          <w:b/>
        </w:rPr>
        <w:t xml:space="preserve">Cite evidence of </w:t>
      </w:r>
      <w:r>
        <w:rPr>
          <w:b/>
        </w:rPr>
        <w:t>w</w:t>
      </w:r>
      <w:r w:rsidRPr="00D953BC">
        <w:rPr>
          <w:b/>
        </w:rPr>
        <w:t>hat students know, what they</w:t>
      </w:r>
      <w:r>
        <w:rPr>
          <w:b/>
        </w:rPr>
        <w:t xml:space="preserve"> can</w:t>
      </w:r>
      <w:r w:rsidRPr="00D953BC">
        <w:rPr>
          <w:b/>
        </w:rPr>
        <w:t xml:space="preserve"> do, and what they</w:t>
      </w:r>
      <w:r>
        <w:rPr>
          <w:b/>
        </w:rPr>
        <w:t xml:space="preserve"> are still</w:t>
      </w:r>
      <w:r w:rsidRPr="00D953BC">
        <w:rPr>
          <w:b/>
        </w:rPr>
        <w:t xml:space="preserve"> learning to do</w:t>
      </w:r>
      <w:r>
        <w:rPr>
          <w:b/>
        </w:rPr>
        <w:t>.</w:t>
      </w:r>
      <w:r w:rsidRPr="00D953BC">
        <w:rPr>
          <w:b/>
        </w:rPr>
        <w:t xml:space="preserve"> </w:t>
      </w:r>
    </w:p>
    <w:p w14:paraId="0D688A7C" w14:textId="77777777" w:rsidR="00002EBD" w:rsidRDefault="00002EBD" w:rsidP="00002EBD">
      <w:pPr>
        <w:pStyle w:val="Brackets"/>
      </w:pPr>
      <w:r>
        <w:t>[  ]</w:t>
      </w:r>
    </w:p>
    <w:p w14:paraId="7E957216" w14:textId="11BDF121" w:rsidR="00002EBD" w:rsidRPr="00D953BC" w:rsidRDefault="00002EBD" w:rsidP="5E582712">
      <w:pPr>
        <w:pStyle w:val="TPAClistlettered"/>
        <w:rPr>
          <w:b/>
          <w:bCs/>
        </w:rPr>
      </w:pPr>
      <w:r>
        <w:lastRenderedPageBreak/>
        <w:t>b.</w:t>
      </w:r>
      <w:r>
        <w:tab/>
        <w:t>Personal and community assets related to the central focus—</w:t>
      </w:r>
      <w:r w:rsidRPr="5E582712">
        <w:rPr>
          <w:b/>
          <w:bCs/>
        </w:rPr>
        <w:t>What do you know about your students’ everyday experiences, backgrounds</w:t>
      </w:r>
      <w:r w:rsidR="006A73CC">
        <w:rPr>
          <w:b/>
          <w:bCs/>
        </w:rPr>
        <w:t>,</w:t>
      </w:r>
      <w:r w:rsidRPr="5E582712">
        <w:rPr>
          <w:b/>
          <w:bCs/>
        </w:rPr>
        <w:t xml:space="preserve"> practices, and interests? </w:t>
      </w:r>
    </w:p>
    <w:p w14:paraId="4646BB4A" w14:textId="77777777" w:rsidR="00002EBD" w:rsidRDefault="00002EBD" w:rsidP="00002EBD">
      <w:pPr>
        <w:pStyle w:val="Brackets"/>
      </w:pPr>
      <w:r>
        <w:t>[  ]</w:t>
      </w:r>
    </w:p>
    <w:p w14:paraId="228BE51E" w14:textId="77777777" w:rsidR="00002EBD" w:rsidRPr="00F573FE" w:rsidRDefault="00002EBD" w:rsidP="002726C3">
      <w:pPr>
        <w:pStyle w:val="Heading2"/>
      </w:pPr>
      <w:r w:rsidRPr="00F573FE">
        <w:t>3.</w:t>
      </w:r>
      <w:r w:rsidRPr="00F573FE">
        <w:tab/>
        <w:t>Supporting Students’ Communicative Proficiency in the Target Language</w:t>
      </w:r>
    </w:p>
    <w:p w14:paraId="6BE18491" w14:textId="77777777" w:rsidR="00002EBD" w:rsidRPr="00F573FE" w:rsidRDefault="00002EBD" w:rsidP="00002EBD">
      <w:pPr>
        <w:pStyle w:val="TPACtextbody"/>
        <w:tabs>
          <w:tab w:val="left" w:pos="360"/>
          <w:tab w:val="left" w:pos="1080"/>
          <w:tab w:val="left" w:pos="1440"/>
          <w:tab w:val="left" w:pos="1800"/>
        </w:tabs>
        <w:rPr>
          <w:b/>
        </w:rPr>
      </w:pPr>
      <w:r w:rsidRPr="00F573FE">
        <w:t>Respond to prompts</w:t>
      </w:r>
      <w:r>
        <w:t xml:space="preserve"> below</w:t>
      </w:r>
      <w:r w:rsidRPr="00F573FE">
        <w:t xml:space="preserve"> </w:t>
      </w:r>
      <w:r>
        <w:t>(</w:t>
      </w:r>
      <w:r w:rsidRPr="00F573FE">
        <w:t>3a–d</w:t>
      </w:r>
      <w:r>
        <w:t>)</w:t>
      </w:r>
      <w:r w:rsidRPr="00F573FE">
        <w:t xml:space="preserve">. </w:t>
      </w:r>
      <w:r>
        <w:t>To support your</w:t>
      </w:r>
      <w:r w:rsidRPr="00C85EA8">
        <w:t xml:space="preserve"> </w:t>
      </w:r>
      <w:r w:rsidRPr="00662F65">
        <w:rPr>
          <w:rFonts w:cs="Arial"/>
        </w:rPr>
        <w:t>justifications</w:t>
      </w:r>
      <w:r>
        <w:t>,</w:t>
      </w:r>
      <w:r w:rsidRPr="00F573FE">
        <w:t xml:space="preserve"> refer to the instructional materials and lesson plans you have included </w:t>
      </w:r>
      <w:r>
        <w:t>in Planning Task 1.</w:t>
      </w:r>
      <w:r w:rsidRPr="00F573FE">
        <w:t xml:space="preserve"> </w:t>
      </w:r>
      <w:r w:rsidRPr="00BC172A">
        <w:rPr>
          <w:b/>
        </w:rPr>
        <w:t>In addition,</w:t>
      </w:r>
      <w:r>
        <w:t xml:space="preserve"> </w:t>
      </w:r>
      <w:r w:rsidRPr="00D953BC">
        <w:rPr>
          <w:b/>
        </w:rPr>
        <w:t>u</w:t>
      </w:r>
      <w:r w:rsidRPr="00F573FE">
        <w:rPr>
          <w:b/>
        </w:rPr>
        <w:t>se principles from Second Language Acquisition</w:t>
      </w:r>
      <w:r>
        <w:rPr>
          <w:b/>
        </w:rPr>
        <w:t>/Teaching</w:t>
      </w:r>
      <w:r w:rsidRPr="00F573FE">
        <w:rPr>
          <w:b/>
        </w:rPr>
        <w:t xml:space="preserve"> research and/or theory to support your </w:t>
      </w:r>
      <w:r>
        <w:rPr>
          <w:b/>
        </w:rPr>
        <w:t>justifications</w:t>
      </w:r>
      <w:r w:rsidRPr="00BC172A">
        <w:rPr>
          <w:b/>
        </w:rPr>
        <w:t>.</w:t>
      </w:r>
    </w:p>
    <w:p w14:paraId="45A79241" w14:textId="37EB4B5B" w:rsidR="00002EBD" w:rsidRPr="00662F65" w:rsidRDefault="00002EBD" w:rsidP="00002EBD">
      <w:pPr>
        <w:pStyle w:val="TPAClistlettered"/>
      </w:pPr>
      <w:r>
        <w:t>a.</w:t>
      </w:r>
      <w:r>
        <w:tab/>
        <w:t>Justify how your understanding of your students’ prior academic learning</w:t>
      </w:r>
      <w:r w:rsidR="00530D0F">
        <w:t xml:space="preserve"> and/or prerequisite skills</w:t>
      </w:r>
      <w:r>
        <w:t xml:space="preserve"> and personal</w:t>
      </w:r>
      <w:r w:rsidR="006A73CC">
        <w:t xml:space="preserve"> </w:t>
      </w:r>
      <w:r>
        <w:t>and community assets (from prompts 2a–b above) guided your choice or adaptation of language tasks and materials. Be explicit about the connections between the learning tasks and students’ prior academic learning</w:t>
      </w:r>
      <w:r w:rsidR="00530D0F">
        <w:t xml:space="preserve"> and/or prerequisite skills</w:t>
      </w:r>
      <w:r>
        <w:t>, their assets, and research/theory.</w:t>
      </w:r>
    </w:p>
    <w:p w14:paraId="48A2B0E3" w14:textId="77777777" w:rsidR="00002EBD" w:rsidRDefault="00002EBD" w:rsidP="00002EBD">
      <w:pPr>
        <w:pStyle w:val="Brackets"/>
      </w:pPr>
      <w:r>
        <w:t>[  ]</w:t>
      </w:r>
    </w:p>
    <w:p w14:paraId="2468D62C" w14:textId="77777777" w:rsidR="00002EBD" w:rsidRPr="00F573FE" w:rsidRDefault="00002EBD" w:rsidP="00002EBD">
      <w:pPr>
        <w:pStyle w:val="TPAClistlettered"/>
        <w:rPr>
          <w:b/>
        </w:rPr>
      </w:pPr>
      <w:r w:rsidRPr="00F573FE">
        <w:t>b.</w:t>
      </w:r>
      <w:r w:rsidRPr="00F573FE">
        <w:tab/>
        <w:t xml:space="preserve">Describe and justify why your instructional strategies and </w:t>
      </w:r>
      <w:r w:rsidRPr="00002EBD">
        <w:t>planned supports</w:t>
      </w:r>
      <w:r w:rsidRPr="00F573FE">
        <w:t xml:space="preserve"> are appropriate for </w:t>
      </w:r>
      <w:r w:rsidRPr="00F573FE">
        <w:rPr>
          <w:b/>
        </w:rPr>
        <w:t>the whole class</w:t>
      </w:r>
      <w:r>
        <w:rPr>
          <w:b/>
        </w:rPr>
        <w:t>, individuals, and/or groups of students</w:t>
      </w:r>
      <w:r w:rsidRPr="00435815">
        <w:rPr>
          <w:b/>
        </w:rPr>
        <w:t xml:space="preserve"> with </w:t>
      </w:r>
      <w:r w:rsidRPr="00F573FE">
        <w:rPr>
          <w:b/>
        </w:rPr>
        <w:t>specific learning needs</w:t>
      </w:r>
      <w:r w:rsidRPr="00B16414">
        <w:t>.</w:t>
      </w:r>
      <w:r w:rsidRPr="00F573FE">
        <w:rPr>
          <w:b/>
        </w:rPr>
        <w:t xml:space="preserve"> </w:t>
      </w:r>
    </w:p>
    <w:p w14:paraId="64ED2A6D" w14:textId="1EC5F200" w:rsidR="00002EBD" w:rsidRPr="00F573FE" w:rsidRDefault="00002EBD" w:rsidP="00002EBD">
      <w:pPr>
        <w:pStyle w:val="TPACbox"/>
        <w:ind w:left="720"/>
      </w:pPr>
      <w:r w:rsidRPr="00F573FE">
        <w:t xml:space="preserve">Consider </w:t>
      </w:r>
      <w:r w:rsidRPr="00016F6A">
        <w:t xml:space="preserve">the </w:t>
      </w:r>
      <w:r w:rsidRPr="00662F65">
        <w:t>variety of learners</w:t>
      </w:r>
      <w:r w:rsidRPr="00016F6A">
        <w:t xml:space="preserve"> in</w:t>
      </w:r>
      <w:r w:rsidRPr="00F573FE">
        <w:t xml:space="preserve"> your class who may require different strategies/support (e.g., students with IEPs</w:t>
      </w:r>
      <w:r w:rsidRPr="00C85EA8">
        <w:t xml:space="preserve"> </w:t>
      </w:r>
      <w:r w:rsidRPr="00662F65">
        <w:t>or 504 plans</w:t>
      </w:r>
      <w:r w:rsidRPr="00F573FE">
        <w:t>, English learners, readers who struggle in their first language, students at varying levels of language proficiency, students who are underperforming or those with gaps in academic knowledge,</w:t>
      </w:r>
      <w:r>
        <w:t xml:space="preserve"> heritage-language speakers,</w:t>
      </w:r>
      <w:r w:rsidRPr="00F573FE">
        <w:t xml:space="preserve"> and/or gifted students</w:t>
      </w:r>
      <w:r>
        <w:t>)</w:t>
      </w:r>
      <w:r w:rsidRPr="00F573FE">
        <w:t>.</w:t>
      </w:r>
    </w:p>
    <w:p w14:paraId="79818CA2" w14:textId="77777777" w:rsidR="00002EBD" w:rsidRDefault="00002EBD" w:rsidP="00002EBD">
      <w:pPr>
        <w:pStyle w:val="Brackets"/>
      </w:pPr>
      <w:r>
        <w:t>[  ]</w:t>
      </w:r>
    </w:p>
    <w:p w14:paraId="79FD1869" w14:textId="6B9976C6" w:rsidR="00002EBD" w:rsidRPr="00F573FE" w:rsidRDefault="00002EBD" w:rsidP="00002EBD">
      <w:pPr>
        <w:pStyle w:val="TPAClistlettered"/>
        <w:rPr>
          <w:color w:val="000000"/>
        </w:rPr>
      </w:pPr>
      <w:r w:rsidRPr="5E582712">
        <w:rPr>
          <w:rFonts w:cs="Calibri"/>
        </w:rPr>
        <w:t>c.</w:t>
      </w:r>
      <w:r>
        <w:tab/>
      </w:r>
      <w:r w:rsidRPr="5E582712">
        <w:rPr>
          <w:rFonts w:cs="Calibri"/>
        </w:rPr>
        <w:t xml:space="preserve">Explain how the language tasks </w:t>
      </w:r>
      <w:r>
        <w:t xml:space="preserve">promote comparisons and connections between the experience and knowledge students bring (i.e., students’ </w:t>
      </w:r>
      <w:r w:rsidRPr="5E582712">
        <w:rPr>
          <w:color w:val="000000" w:themeColor="text1"/>
        </w:rPr>
        <w:t>prior academic learning</w:t>
      </w:r>
      <w:r w:rsidR="00530D0F" w:rsidRPr="5E582712">
        <w:rPr>
          <w:color w:val="000000" w:themeColor="text1"/>
        </w:rPr>
        <w:t xml:space="preserve"> and/or prerequisite skills</w:t>
      </w:r>
      <w:r w:rsidRPr="5E582712">
        <w:rPr>
          <w:color w:val="000000" w:themeColor="text1"/>
        </w:rPr>
        <w:t xml:space="preserve"> and personal/community assets) and the </w:t>
      </w:r>
      <w:r>
        <w:t>cultural practices, products, and perspectives</w:t>
      </w:r>
      <w:r w:rsidRPr="5E582712">
        <w:rPr>
          <w:color w:val="000000" w:themeColor="text1"/>
        </w:rPr>
        <w:t xml:space="preserve"> of the target language.</w:t>
      </w:r>
    </w:p>
    <w:p w14:paraId="7D9E7432" w14:textId="77777777" w:rsidR="00002EBD" w:rsidRDefault="00002EBD" w:rsidP="00002EBD">
      <w:pPr>
        <w:pStyle w:val="Brackets"/>
      </w:pPr>
      <w:r>
        <w:t>[  ]</w:t>
      </w:r>
    </w:p>
    <w:p w14:paraId="42DC8C56" w14:textId="77777777" w:rsidR="00002EBD" w:rsidRPr="00F573FE" w:rsidRDefault="00002EBD" w:rsidP="00002EBD">
      <w:pPr>
        <w:pStyle w:val="TPAClistlettered"/>
      </w:pPr>
      <w:r w:rsidRPr="00F573FE">
        <w:rPr>
          <w:color w:val="000000"/>
        </w:rPr>
        <w:t>d.</w:t>
      </w:r>
      <w:r w:rsidRPr="00F573FE">
        <w:rPr>
          <w:color w:val="000000"/>
        </w:rPr>
        <w:tab/>
        <w:t>Describe common errors and misconceptions about the target language and/or the cultural practices of the target language within your content focus and how you will address them.</w:t>
      </w:r>
    </w:p>
    <w:p w14:paraId="2200A7EB" w14:textId="77777777" w:rsidR="00002EBD" w:rsidRDefault="00002EBD" w:rsidP="00002EBD">
      <w:pPr>
        <w:pStyle w:val="Brackets"/>
      </w:pPr>
      <w:r>
        <w:t>[  ]</w:t>
      </w:r>
    </w:p>
    <w:p w14:paraId="0E36B2B3" w14:textId="77777777" w:rsidR="00002EBD" w:rsidRPr="00F573FE" w:rsidRDefault="00002EBD" w:rsidP="002726C3">
      <w:pPr>
        <w:pStyle w:val="Heading2"/>
      </w:pPr>
      <w:r w:rsidRPr="00F573FE">
        <w:t>4.</w:t>
      </w:r>
      <w:r w:rsidRPr="00F573FE">
        <w:tab/>
        <w:t xml:space="preserve">Monitoring Student Development of Communicative Proficiency in the Target Language </w:t>
      </w:r>
    </w:p>
    <w:p w14:paraId="637225B6" w14:textId="77777777" w:rsidR="00002EBD" w:rsidRPr="00F573FE" w:rsidRDefault="00002EBD" w:rsidP="00002EBD">
      <w:pPr>
        <w:pStyle w:val="TPAClistnumbered1"/>
        <w:tabs>
          <w:tab w:val="left" w:pos="360"/>
          <w:tab w:val="left" w:pos="1440"/>
          <w:tab w:val="left" w:pos="1800"/>
        </w:tabs>
        <w:ind w:firstLine="0"/>
        <w:rPr>
          <w:b/>
        </w:rPr>
      </w:pPr>
      <w:r>
        <w:t>In response to the prompts below, r</w:t>
      </w:r>
      <w:r w:rsidRPr="00F573FE">
        <w:t xml:space="preserve">efer to the assessments you will submit as part of the materials for </w:t>
      </w:r>
      <w:r>
        <w:t xml:space="preserve">Planning </w:t>
      </w:r>
      <w:r w:rsidRPr="00F573FE">
        <w:t>Task 1.</w:t>
      </w:r>
    </w:p>
    <w:p w14:paraId="2D1DA929" w14:textId="77777777" w:rsidR="00002EBD" w:rsidRDefault="00002EBD" w:rsidP="00002EBD">
      <w:pPr>
        <w:pStyle w:val="TPAClistlettered1"/>
        <w:numPr>
          <w:ilvl w:val="0"/>
          <w:numId w:val="23"/>
        </w:numPr>
        <w:tabs>
          <w:tab w:val="left" w:pos="360"/>
          <w:tab w:val="left" w:pos="1080"/>
          <w:tab w:val="left" w:pos="1800"/>
        </w:tabs>
        <w:ind w:left="720"/>
        <w:rPr>
          <w:szCs w:val="22"/>
        </w:rPr>
      </w:pPr>
      <w:r w:rsidRPr="00F573FE">
        <w:rPr>
          <w:szCs w:val="22"/>
        </w:rPr>
        <w:t xml:space="preserve">Describe how your planned formal and informal assessments will provide direct evidence of students’ development of communicative proficiency </w:t>
      </w:r>
      <w:r>
        <w:rPr>
          <w:szCs w:val="22"/>
        </w:rPr>
        <w:t>in</w:t>
      </w:r>
      <w:r w:rsidRPr="00F573FE">
        <w:rPr>
          <w:szCs w:val="22"/>
        </w:rPr>
        <w:t xml:space="preserve"> the target language in meaningful cultural context(s)</w:t>
      </w:r>
      <w:r>
        <w:rPr>
          <w:szCs w:val="22"/>
        </w:rPr>
        <w:t xml:space="preserve"> </w:t>
      </w:r>
      <w:r w:rsidRPr="00662F65">
        <w:rPr>
          <w:b/>
          <w:szCs w:val="22"/>
        </w:rPr>
        <w:t>throughout</w:t>
      </w:r>
      <w:r>
        <w:rPr>
          <w:szCs w:val="22"/>
        </w:rPr>
        <w:t xml:space="preserve"> the learning segment</w:t>
      </w:r>
      <w:r w:rsidRPr="00F573FE">
        <w:rPr>
          <w:szCs w:val="22"/>
        </w:rPr>
        <w:t>.</w:t>
      </w:r>
    </w:p>
    <w:p w14:paraId="65EF4EE7" w14:textId="77777777" w:rsidR="00002EBD" w:rsidRPr="00002EBD" w:rsidRDefault="00002EBD" w:rsidP="00002EBD">
      <w:pPr>
        <w:pStyle w:val="Brackets"/>
      </w:pPr>
      <w:r w:rsidRPr="00002EBD">
        <w:t>[  ]</w:t>
      </w:r>
    </w:p>
    <w:p w14:paraId="28B2D8EC" w14:textId="77777777" w:rsidR="00002EBD" w:rsidRPr="00F573FE" w:rsidRDefault="00002EBD" w:rsidP="00002EBD">
      <w:pPr>
        <w:pStyle w:val="TPAClistlettered1"/>
        <w:numPr>
          <w:ilvl w:val="0"/>
          <w:numId w:val="23"/>
        </w:numPr>
        <w:tabs>
          <w:tab w:val="clear" w:pos="1440"/>
          <w:tab w:val="left" w:pos="360"/>
          <w:tab w:val="num" w:pos="720"/>
          <w:tab w:val="left" w:pos="1800"/>
        </w:tabs>
        <w:ind w:left="720"/>
        <w:rPr>
          <w:szCs w:val="22"/>
        </w:rPr>
      </w:pPr>
      <w:r w:rsidRPr="00F573FE">
        <w:rPr>
          <w:szCs w:val="22"/>
        </w:rPr>
        <w:lastRenderedPageBreak/>
        <w:t xml:space="preserve">Explain how the design or adaptation of your planned assessments allows students with specific needs to demonstrate their development of communicative proficiency </w:t>
      </w:r>
      <w:r>
        <w:rPr>
          <w:szCs w:val="22"/>
        </w:rPr>
        <w:t xml:space="preserve">in the target language </w:t>
      </w:r>
      <w:r w:rsidRPr="00F573FE">
        <w:rPr>
          <w:szCs w:val="22"/>
        </w:rPr>
        <w:t>in meaningful cultural context(s).</w:t>
      </w:r>
    </w:p>
    <w:p w14:paraId="7038A9E0" w14:textId="2AE1BCDF" w:rsidR="00002EBD" w:rsidRPr="00F573FE" w:rsidRDefault="00002EBD" w:rsidP="00002EBD">
      <w:pPr>
        <w:pStyle w:val="TPACbox"/>
        <w:ind w:left="720"/>
      </w:pPr>
      <w:r w:rsidRPr="002B5DFB">
        <w:t xml:space="preserve">Consider </w:t>
      </w:r>
      <w:r w:rsidRPr="00A86D89">
        <w:t xml:space="preserve">the </w:t>
      </w:r>
      <w:r w:rsidRPr="00BC172A">
        <w:t>variety of learners</w:t>
      </w:r>
      <w:r w:rsidRPr="00A86D89">
        <w:t xml:space="preserve"> in</w:t>
      </w:r>
      <w:r w:rsidRPr="002B5DFB">
        <w:t xml:space="preserve"> your class who may require different strategies/support (e.g., students with IEPs</w:t>
      </w:r>
      <w:r w:rsidRPr="00662F65">
        <w:t xml:space="preserve"> or 504 plans</w:t>
      </w:r>
      <w:r w:rsidRPr="002B5DFB">
        <w:t>, English learners, readers who struggle in their first language, students at varying levels of language proficiency, students who are underperforming or those with gaps in academic knowledge, heritage-language speakers, and/or gifted students).</w:t>
      </w:r>
    </w:p>
    <w:p w14:paraId="48D9F5E7" w14:textId="77777777" w:rsidR="00002EBD" w:rsidRDefault="00002EBD" w:rsidP="00002EBD">
      <w:pPr>
        <w:pStyle w:val="Brackets"/>
      </w:pPr>
      <w:r>
        <w:t>[  ]</w:t>
      </w:r>
    </w:p>
    <w:sectPr w:rsidR="00002EBD" w:rsidSect="00282C83">
      <w:headerReference w:type="default" r:id="rId11"/>
      <w:footerReference w:type="default" r:id="rId12"/>
      <w:headerReference w:type="first" r:id="rId13"/>
      <w:footerReference w:type="first" r:id="rId14"/>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9E887" w14:textId="77777777" w:rsidR="00C444A6" w:rsidRDefault="00C444A6">
      <w:r>
        <w:separator/>
      </w:r>
    </w:p>
    <w:p w14:paraId="223A6A4C" w14:textId="77777777" w:rsidR="00C444A6" w:rsidRDefault="00C444A6"/>
    <w:p w14:paraId="360CA4A0" w14:textId="77777777" w:rsidR="00C444A6" w:rsidRDefault="00C444A6"/>
  </w:endnote>
  <w:endnote w:type="continuationSeparator" w:id="0">
    <w:p w14:paraId="0E83B050" w14:textId="77777777" w:rsidR="00C444A6" w:rsidRDefault="00C444A6">
      <w:r>
        <w:continuationSeparator/>
      </w:r>
    </w:p>
    <w:p w14:paraId="6D0FA841" w14:textId="77777777" w:rsidR="00C444A6" w:rsidRDefault="00C444A6"/>
    <w:p w14:paraId="0CB6B27D" w14:textId="77777777" w:rsidR="00C444A6" w:rsidRDefault="00C44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5FCFF" w14:textId="23BBDE00" w:rsidR="00AC4362" w:rsidRPr="00691A8F" w:rsidRDefault="00AC4362" w:rsidP="0099318F">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BB2ACF" w:rsidRPr="000B54FD">
      <w:rPr>
        <w:rFonts w:ascii="Arial Narrow" w:hAnsi="Arial Narrow"/>
        <w:color w:val="808080"/>
        <w:sz w:val="18"/>
        <w:szCs w:val="18"/>
      </w:rPr>
      <w:t>20</w:t>
    </w:r>
    <w:r w:rsidR="00B802A4">
      <w:rPr>
        <w:rFonts w:ascii="Arial Narrow" w:hAnsi="Arial Narrow"/>
        <w:color w:val="808080"/>
        <w:sz w:val="18"/>
        <w:szCs w:val="18"/>
      </w:rPr>
      <w:t>2</w:t>
    </w:r>
    <w:r w:rsidR="00530D0F">
      <w:rPr>
        <w:rFonts w:ascii="Arial Narrow" w:hAnsi="Arial Narrow"/>
        <w:color w:val="808080"/>
        <w:sz w:val="18"/>
        <w:szCs w:val="18"/>
      </w:rPr>
      <w:t>5</w:t>
    </w:r>
    <w:r w:rsidR="00BB2ACF"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994D92">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w:t>
    </w:r>
    <w:r w:rsidRPr="00B550C6">
      <w:rPr>
        <w:rStyle w:val="PageNumber"/>
        <w:rFonts w:ascii="Arial Narrow" w:hAnsi="Arial Narrow"/>
        <w:b/>
        <w:color w:val="991D20"/>
        <w:sz w:val="18"/>
        <w:szCs w:val="18"/>
      </w:rPr>
      <w:t xml:space="preserve"> </w:t>
    </w:r>
    <w:r w:rsidR="00B550C6" w:rsidRPr="00B550C6">
      <w:rPr>
        <w:rStyle w:val="PageNumber"/>
        <w:rFonts w:ascii="Arial Narrow" w:hAnsi="Arial Narrow"/>
        <w:b/>
        <w:color w:val="991D20"/>
        <w:sz w:val="18"/>
        <w:szCs w:val="18"/>
      </w:rPr>
      <w:fldChar w:fldCharType="begin"/>
    </w:r>
    <w:r w:rsidR="00B550C6" w:rsidRPr="00B550C6">
      <w:rPr>
        <w:rStyle w:val="PageNumber"/>
        <w:rFonts w:ascii="Arial Narrow" w:hAnsi="Arial Narrow"/>
        <w:b/>
        <w:color w:val="991D20"/>
        <w:sz w:val="18"/>
        <w:szCs w:val="18"/>
      </w:rPr>
      <w:instrText xml:space="preserve"> NUMPAGES </w:instrText>
    </w:r>
    <w:r w:rsidR="00B550C6" w:rsidRPr="00B550C6">
      <w:rPr>
        <w:rStyle w:val="PageNumber"/>
        <w:rFonts w:ascii="Arial Narrow" w:hAnsi="Arial Narrow"/>
        <w:b/>
        <w:color w:val="991D20"/>
        <w:sz w:val="18"/>
        <w:szCs w:val="18"/>
      </w:rPr>
      <w:fldChar w:fldCharType="separate"/>
    </w:r>
    <w:r w:rsidR="00994D92">
      <w:rPr>
        <w:rStyle w:val="PageNumber"/>
        <w:rFonts w:ascii="Arial Narrow" w:hAnsi="Arial Narrow"/>
        <w:b/>
        <w:noProof/>
        <w:color w:val="991D20"/>
        <w:sz w:val="18"/>
        <w:szCs w:val="18"/>
      </w:rPr>
      <w:t>3</w:t>
    </w:r>
    <w:r w:rsidR="00B550C6" w:rsidRPr="00B550C6">
      <w:rPr>
        <w:rStyle w:val="PageNumber"/>
        <w:rFonts w:ascii="Arial Narrow" w:hAnsi="Arial Narrow"/>
        <w:b/>
        <w:color w:val="991D20"/>
        <w:sz w:val="18"/>
        <w:szCs w:val="18"/>
      </w:rPr>
      <w:fldChar w:fldCharType="end"/>
    </w:r>
    <w:r w:rsidRPr="00B550C6">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FA12E0">
      <w:rPr>
        <w:rStyle w:val="TPApgcountChar"/>
      </w:rPr>
      <w:fldChar w:fldCharType="begin"/>
    </w:r>
    <w:r w:rsidR="00FA12E0">
      <w:rPr>
        <w:rStyle w:val="TPApgcountChar"/>
      </w:rPr>
      <w:instrText xml:space="preserve"> COMMENTS   \* MERGEFORMAT </w:instrText>
    </w:r>
    <w:r w:rsidR="00FA12E0">
      <w:rPr>
        <w:rStyle w:val="TPApgcountChar"/>
      </w:rPr>
      <w:fldChar w:fldCharType="separate"/>
    </w:r>
    <w:r w:rsidR="00002EBD">
      <w:rPr>
        <w:rStyle w:val="TPApgcountChar"/>
      </w:rPr>
      <w:t>9</w:t>
    </w:r>
    <w:r w:rsidR="00FA12E0">
      <w:rPr>
        <w:rStyle w:val="TPApgcountChar"/>
      </w:rPr>
      <w:fldChar w:fldCharType="end"/>
    </w:r>
    <w:r w:rsidRPr="00AC4362">
      <w:rPr>
        <w:rStyle w:val="TPApgcountChar"/>
      </w:rPr>
      <w:t xml:space="preserve"> pages maximum</w:t>
    </w:r>
  </w:p>
  <w:p w14:paraId="7977C4B6" w14:textId="79405EF1" w:rsidR="0099318F" w:rsidRDefault="00AC4362" w:rsidP="0099318F">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0A2A8E">
      <w:rPr>
        <w:rFonts w:ascii="Arial Narrow" w:hAnsi="Arial Narrow"/>
        <w:color w:val="808080"/>
        <w:sz w:val="18"/>
        <w:szCs w:val="18"/>
      </w:rPr>
      <w:tab/>
    </w:r>
    <w:r w:rsidR="006953C3">
      <w:rPr>
        <w:rFonts w:ascii="Arial Narrow" w:hAnsi="Arial Narrow"/>
        <w:color w:val="808080"/>
        <w:sz w:val="18"/>
        <w:szCs w:val="18"/>
      </w:rPr>
      <w:t>V</w:t>
    </w:r>
    <w:r w:rsidR="00BB2ACF">
      <w:rPr>
        <w:rFonts w:ascii="Arial Narrow" w:hAnsi="Arial Narrow"/>
        <w:color w:val="808080"/>
        <w:sz w:val="18"/>
        <w:szCs w:val="18"/>
      </w:rPr>
      <w:t>0</w:t>
    </w:r>
    <w:r w:rsidR="00530D0F">
      <w:rPr>
        <w:rFonts w:ascii="Arial Narrow" w:hAnsi="Arial Narrow"/>
        <w:color w:val="808080"/>
        <w:sz w:val="18"/>
        <w:szCs w:val="18"/>
      </w:rPr>
      <w:t>9</w:t>
    </w:r>
  </w:p>
  <w:p w14:paraId="02C2608C" w14:textId="77777777" w:rsidR="005F257B" w:rsidRPr="000C355C" w:rsidRDefault="005F257B" w:rsidP="005F257B">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 xml:space="preserve">Use of 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6B14"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282C83">
      <w:rPr>
        <w:rStyle w:val="PageNumber"/>
        <w:noProof/>
      </w:rPr>
      <w:t>1</w:t>
    </w:r>
    <w:r w:rsidRPr="00691A8F">
      <w:rPr>
        <w:rStyle w:val="PageNumber"/>
      </w:rPr>
      <w:fldChar w:fldCharType="end"/>
    </w:r>
    <w:r>
      <w:rPr>
        <w:rStyle w:val="PageNumber"/>
      </w:rPr>
      <w:t xml:space="preserve"> of XX</w:t>
    </w:r>
  </w:p>
  <w:p w14:paraId="1CE5C0CC"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B7EC0" w14:textId="77777777" w:rsidR="00C444A6" w:rsidRDefault="00C444A6" w:rsidP="0012137E">
      <w:pPr>
        <w:spacing w:before="0" w:line="240" w:lineRule="auto"/>
      </w:pPr>
      <w:r>
        <w:separator/>
      </w:r>
    </w:p>
  </w:footnote>
  <w:footnote w:type="continuationSeparator" w:id="0">
    <w:p w14:paraId="75ECAE98" w14:textId="77777777" w:rsidR="00C444A6" w:rsidRDefault="00C444A6">
      <w:r>
        <w:continuationSeparator/>
      </w:r>
    </w:p>
    <w:p w14:paraId="13F2F76E" w14:textId="77777777" w:rsidR="00C444A6" w:rsidRDefault="00C444A6"/>
    <w:p w14:paraId="6B0AF453" w14:textId="77777777" w:rsidR="00C444A6" w:rsidRDefault="00C444A6"/>
  </w:footnote>
  <w:footnote w:id="1">
    <w:p w14:paraId="0032F7B4" w14:textId="77777777" w:rsidR="00002EBD" w:rsidRDefault="00002EBD" w:rsidP="00002EBD">
      <w:pPr>
        <w:pStyle w:val="FootnoteText"/>
      </w:pPr>
      <w:r>
        <w:rPr>
          <w:rStyle w:val="FootnoteReference"/>
        </w:rPr>
        <w:footnoteRef/>
      </w:r>
      <w:r>
        <w:t xml:space="preserve"> </w:t>
      </w:r>
      <w:r w:rsidRPr="006B56DA">
        <w:rPr>
          <w:sz w:val="16"/>
          <w:szCs w:val="16"/>
        </w:rPr>
        <w:t xml:space="preserve">The ACTFL World-Readiness Standards for Learning Languages (2014) </w:t>
      </w:r>
      <w:r w:rsidRPr="00ED4E58">
        <w:rPr>
          <w:rStyle w:val="TPACfootnoteChar"/>
        </w:rPr>
        <w:t xml:space="preserve">can be found at </w:t>
      </w:r>
      <w:hyperlink r:id="rId1" w:history="1">
        <w:r>
          <w:rPr>
            <w:rStyle w:val="Hyperlink"/>
            <w:sz w:val="16"/>
            <w:szCs w:val="16"/>
          </w:rPr>
          <w:t>www.actfl.org/publications/all/world-readiness-standards-learning-languages</w:t>
        </w:r>
      </w:hyperlink>
      <w:r>
        <w:rPr>
          <w:rStyle w:val="TPACfootnoteCh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530D" w14:textId="77777777" w:rsidR="0099318F" w:rsidRPr="000031D4" w:rsidRDefault="008F2F24" w:rsidP="0099318F">
    <w:pPr>
      <w:pStyle w:val="Header"/>
      <w:tabs>
        <w:tab w:val="right" w:pos="9360"/>
      </w:tabs>
      <w:jc w:val="left"/>
      <w:rPr>
        <w:sz w:val="20"/>
        <w:szCs w:val="20"/>
      </w:rPr>
    </w:pPr>
    <w:r>
      <w:rPr>
        <w:noProof/>
      </w:rPr>
      <w:drawing>
        <wp:inline distT="0" distB="0" distL="0" distR="0" wp14:anchorId="5F5443A6" wp14:editId="3EB4108B">
          <wp:extent cx="906780" cy="27432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274320"/>
                  </a:xfrm>
                  <a:prstGeom prst="rect">
                    <a:avLst/>
                  </a:prstGeom>
                  <a:noFill/>
                  <a:ln>
                    <a:noFill/>
                  </a:ln>
                </pic:spPr>
              </pic:pic>
            </a:graphicData>
          </a:graphic>
        </wp:inline>
      </w:drawing>
    </w:r>
    <w:r w:rsidR="0099318F">
      <w:tab/>
    </w:r>
    <w:r w:rsidR="00282C83" w:rsidRPr="000031D4">
      <w:rPr>
        <w:sz w:val="20"/>
        <w:szCs w:val="20"/>
      </w:rPr>
      <w:fldChar w:fldCharType="begin"/>
    </w:r>
    <w:r w:rsidR="00282C83" w:rsidRPr="000031D4">
      <w:rPr>
        <w:sz w:val="20"/>
        <w:szCs w:val="20"/>
      </w:rPr>
      <w:instrText xml:space="preserve"> SUBJECT   \* MERGEFORMAT </w:instrText>
    </w:r>
    <w:r w:rsidR="00282C83" w:rsidRPr="000031D4">
      <w:rPr>
        <w:sz w:val="20"/>
        <w:szCs w:val="20"/>
      </w:rPr>
      <w:fldChar w:fldCharType="separate"/>
    </w:r>
    <w:r w:rsidR="006B56DA">
      <w:rPr>
        <w:sz w:val="20"/>
        <w:szCs w:val="20"/>
      </w:rPr>
      <w:t>World Language</w:t>
    </w:r>
    <w:r w:rsidR="00282C83" w:rsidRPr="000031D4">
      <w:rPr>
        <w:sz w:val="20"/>
        <w:szCs w:val="20"/>
      </w:rPr>
      <w:fldChar w:fldCharType="end"/>
    </w:r>
  </w:p>
  <w:p w14:paraId="52EAF642" w14:textId="77777777" w:rsidR="00282C83" w:rsidRPr="000031D4" w:rsidRDefault="000031D4" w:rsidP="00282C83">
    <w:pPr>
      <w:pStyle w:val="Header"/>
      <w:tabs>
        <w:tab w:val="right" w:pos="9360"/>
      </w:tabs>
      <w:rPr>
        <w:sz w:val="20"/>
        <w:szCs w:val="20"/>
      </w:rPr>
    </w:pPr>
    <w:r>
      <w:rPr>
        <w:sz w:val="20"/>
        <w:szCs w:val="20"/>
      </w:rPr>
      <w:t xml:space="preserve">Task 1: </w:t>
    </w:r>
    <w:r w:rsidR="00282C83" w:rsidRPr="000031D4">
      <w:rPr>
        <w:sz w:val="20"/>
        <w:szCs w:val="20"/>
      </w:rPr>
      <w:t>Planning Commentary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B6BE" w14:textId="77777777" w:rsidR="00282C83" w:rsidRDefault="008F2F24" w:rsidP="00282C83">
    <w:pPr>
      <w:pStyle w:val="Header"/>
      <w:tabs>
        <w:tab w:val="right" w:pos="9360"/>
      </w:tabs>
      <w:jc w:val="left"/>
      <w:rPr>
        <w:sz w:val="24"/>
        <w:szCs w:val="24"/>
      </w:rPr>
    </w:pPr>
    <w:r>
      <w:rPr>
        <w:noProof/>
      </w:rPr>
      <w:drawing>
        <wp:inline distT="0" distB="0" distL="0" distR="0" wp14:anchorId="1CEB8B26" wp14:editId="134604CD">
          <wp:extent cx="937260" cy="251460"/>
          <wp:effectExtent l="0" t="0" r="0" b="0"/>
          <wp:docPr id="2" name="Picture 2" descr="edTP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TPA_logo_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51460"/>
                  </a:xfrm>
                  <a:prstGeom prst="rect">
                    <a:avLst/>
                  </a:prstGeom>
                  <a:noFill/>
                  <a:ln>
                    <a:noFill/>
                  </a:ln>
                </pic:spPr>
              </pic:pic>
            </a:graphicData>
          </a:graphic>
        </wp:inline>
      </w:drawing>
    </w:r>
    <w:r w:rsidR="00282C83">
      <w:tab/>
    </w:r>
    <w:r w:rsidR="00282C83" w:rsidRPr="00723602">
      <w:rPr>
        <w:sz w:val="22"/>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CA004CE"/>
    <w:multiLevelType w:val="hybridMultilevel"/>
    <w:tmpl w:val="E4AE6332"/>
    <w:lvl w:ilvl="0" w:tplc="D7206F26">
      <w:start w:val="1"/>
      <w:numFmt w:val="bullet"/>
      <w:lvlText w:val=""/>
      <w:lvlJc w:val="left"/>
      <w:pPr>
        <w:ind w:left="1800" w:hanging="360"/>
      </w:pPr>
      <w:rPr>
        <w:rFonts w:ascii="Wingdings 2" w:hAnsi="Wingdings 2" w:hint="default"/>
        <w:color w:val="BF69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CC10C0D"/>
    <w:multiLevelType w:val="hybridMultilevel"/>
    <w:tmpl w:val="28743F4A"/>
    <w:lvl w:ilvl="0" w:tplc="8CA872BE">
      <w:start w:val="3"/>
      <w:numFmt w:val="lowerLetter"/>
      <w:lvlText w:val="%1."/>
      <w:lvlJc w:val="left"/>
      <w:pPr>
        <w:tabs>
          <w:tab w:val="num" w:pos="1440"/>
        </w:tabs>
        <w:ind w:left="1440" w:hanging="360"/>
      </w:pPr>
      <w:rPr>
        <w:rFonts w:hint="default"/>
        <w:color w:val="auto"/>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7F187D"/>
    <w:multiLevelType w:val="hybridMultilevel"/>
    <w:tmpl w:val="7F98590A"/>
    <w:lvl w:ilvl="0" w:tplc="735E3E4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486E8B"/>
    <w:multiLevelType w:val="hybridMultilevel"/>
    <w:tmpl w:val="20AE3E98"/>
    <w:lvl w:ilvl="0" w:tplc="D7206F26">
      <w:start w:val="1"/>
      <w:numFmt w:val="bullet"/>
      <w:lvlText w:val=""/>
      <w:lvlJc w:val="left"/>
      <w:pPr>
        <w:ind w:left="2880" w:hanging="360"/>
      </w:pPr>
      <w:rPr>
        <w:rFonts w:ascii="Wingdings 2" w:hAnsi="Wingdings 2" w:hint="default"/>
        <w:color w:val="BF6900"/>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F2BA1"/>
    <w:multiLevelType w:val="hybridMultilevel"/>
    <w:tmpl w:val="14EABCF6"/>
    <w:lvl w:ilvl="0" w:tplc="DED8BE74">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0C316B7"/>
    <w:multiLevelType w:val="hybridMultilevel"/>
    <w:tmpl w:val="B6BE099C"/>
    <w:lvl w:ilvl="0" w:tplc="81389FD6">
      <w:start w:val="1"/>
      <w:numFmt w:val="lowerLetter"/>
      <w:lvlText w:val="%1."/>
      <w:lvlJc w:val="left"/>
      <w:pPr>
        <w:tabs>
          <w:tab w:val="num" w:pos="1440"/>
        </w:tabs>
        <w:ind w:left="1440" w:hanging="360"/>
      </w:pPr>
      <w:rPr>
        <w:rFonts w:cs="Times New Roman" w:hint="default"/>
      </w:rPr>
    </w:lvl>
    <w:lvl w:ilvl="1" w:tplc="04090019">
      <w:start w:val="1"/>
      <w:numFmt w:val="decimal"/>
      <w:lvlText w:val="%2."/>
      <w:lvlJc w:val="left"/>
      <w:pPr>
        <w:tabs>
          <w:tab w:val="num" w:pos="2160"/>
        </w:tabs>
        <w:ind w:left="2160" w:hanging="360"/>
      </w:pPr>
      <w:rPr>
        <w:rFonts w:ascii="Arial Bold" w:hAnsi="Arial Bold" w:cs="Wingdings 2" w:hint="default"/>
        <w:b/>
        <w:i w:val="0"/>
        <w:color w:val="000000"/>
        <w:sz w:val="2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51587453"/>
    <w:multiLevelType w:val="hybridMultilevel"/>
    <w:tmpl w:val="57D03366"/>
    <w:lvl w:ilvl="0" w:tplc="D7206F26">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A27D18"/>
    <w:multiLevelType w:val="hybridMultilevel"/>
    <w:tmpl w:val="36B06D7E"/>
    <w:lvl w:ilvl="0" w:tplc="D89C5B70">
      <w:start w:val="1"/>
      <w:numFmt w:val="bullet"/>
      <w:lvlText w:val=""/>
      <w:lvlJc w:val="left"/>
      <w:pPr>
        <w:ind w:left="0" w:hanging="360"/>
      </w:pPr>
      <w:rPr>
        <w:rFonts w:ascii="Wingdings 2" w:hAnsi="Wingdings 2" w:hint="default"/>
        <w:color w:val="BF6900"/>
        <w:sz w:val="24"/>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A673B7D"/>
    <w:multiLevelType w:val="hybridMultilevel"/>
    <w:tmpl w:val="9452BB14"/>
    <w:lvl w:ilvl="0" w:tplc="4476DE68">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76A05DA6">
      <w:start w:val="1"/>
      <w:numFmt w:val="lowerLetter"/>
      <w:lvlText w:val="%2."/>
      <w:lvlJc w:val="left"/>
      <w:pPr>
        <w:ind w:left="1800" w:hanging="360"/>
      </w:pPr>
      <w:rPr>
        <w:rFonts w:hint="default"/>
        <w:color w:val="BF6900"/>
        <w:sz w:val="24"/>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4D7274A"/>
    <w:multiLevelType w:val="hybridMultilevel"/>
    <w:tmpl w:val="0F9C1638"/>
    <w:lvl w:ilvl="0" w:tplc="D6643488">
      <w:start w:val="1"/>
      <w:numFmt w:val="bullet"/>
      <w:pStyle w:val="StyleTPAClistbullet1Bold"/>
      <w:lvlText w:val=""/>
      <w:lvlJc w:val="left"/>
      <w:pPr>
        <w:tabs>
          <w:tab w:val="num" w:pos="360"/>
        </w:tabs>
        <w:ind w:left="360" w:hanging="360"/>
      </w:pPr>
      <w:rPr>
        <w:rFonts w:ascii="Wingdings 2" w:hAnsi="Wingdings 2" w:hint="default"/>
        <w:b/>
        <w:i w:val="0"/>
        <w:color w:val="BF6900"/>
        <w:sz w:val="24"/>
      </w:rPr>
    </w:lvl>
    <w:lvl w:ilvl="1" w:tplc="4476DE68"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000743528">
    <w:abstractNumId w:val="16"/>
  </w:num>
  <w:num w:numId="2" w16cid:durableId="1551569866">
    <w:abstractNumId w:val="9"/>
  </w:num>
  <w:num w:numId="3" w16cid:durableId="172234071">
    <w:abstractNumId w:val="21"/>
  </w:num>
  <w:num w:numId="4" w16cid:durableId="151410382">
    <w:abstractNumId w:val="19"/>
  </w:num>
  <w:num w:numId="5" w16cid:durableId="2004580923">
    <w:abstractNumId w:val="14"/>
  </w:num>
  <w:num w:numId="6" w16cid:durableId="774903601">
    <w:abstractNumId w:val="15"/>
  </w:num>
  <w:num w:numId="7" w16cid:durableId="509299919">
    <w:abstractNumId w:val="8"/>
  </w:num>
  <w:num w:numId="8" w16cid:durableId="2111003294">
    <w:abstractNumId w:val="7"/>
  </w:num>
  <w:num w:numId="9" w16cid:durableId="1682007400">
    <w:abstractNumId w:val="6"/>
  </w:num>
  <w:num w:numId="10" w16cid:durableId="986518657">
    <w:abstractNumId w:val="5"/>
  </w:num>
  <w:num w:numId="11" w16cid:durableId="611088770">
    <w:abstractNumId w:val="4"/>
  </w:num>
  <w:num w:numId="12" w16cid:durableId="14311453">
    <w:abstractNumId w:val="3"/>
  </w:num>
  <w:num w:numId="13" w16cid:durableId="2035496741">
    <w:abstractNumId w:val="2"/>
  </w:num>
  <w:num w:numId="14" w16cid:durableId="745961874">
    <w:abstractNumId w:val="1"/>
  </w:num>
  <w:num w:numId="15" w16cid:durableId="1480421046">
    <w:abstractNumId w:val="0"/>
  </w:num>
  <w:num w:numId="16" w16cid:durableId="1310480397">
    <w:abstractNumId w:val="17"/>
  </w:num>
  <w:num w:numId="17" w16cid:durableId="944070096">
    <w:abstractNumId w:val="13"/>
  </w:num>
  <w:num w:numId="18" w16cid:durableId="1489708078">
    <w:abstractNumId w:val="10"/>
  </w:num>
  <w:num w:numId="19" w16cid:durableId="1332175773">
    <w:abstractNumId w:val="22"/>
  </w:num>
  <w:num w:numId="20" w16cid:durableId="1796559921">
    <w:abstractNumId w:val="21"/>
  </w:num>
  <w:num w:numId="21" w16cid:durableId="1101875428">
    <w:abstractNumId w:val="11"/>
  </w:num>
  <w:num w:numId="22" w16cid:durableId="1703819438">
    <w:abstractNumId w:val="12"/>
  </w:num>
  <w:num w:numId="23" w16cid:durableId="259526878">
    <w:abstractNumId w:val="18"/>
    <w:lvlOverride w:ilvl="0">
      <w:startOverride w:val="1"/>
    </w:lvlOverride>
  </w:num>
  <w:num w:numId="24" w16cid:durableId="17002474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2EBD"/>
    <w:rsid w:val="000031D4"/>
    <w:rsid w:val="0000748C"/>
    <w:rsid w:val="00013FD4"/>
    <w:rsid w:val="00037A8B"/>
    <w:rsid w:val="00042CA5"/>
    <w:rsid w:val="00046C4D"/>
    <w:rsid w:val="00047286"/>
    <w:rsid w:val="00047479"/>
    <w:rsid w:val="000664AE"/>
    <w:rsid w:val="00074DCE"/>
    <w:rsid w:val="00076B02"/>
    <w:rsid w:val="00077381"/>
    <w:rsid w:val="000A2A8E"/>
    <w:rsid w:val="000A3ADA"/>
    <w:rsid w:val="000F1121"/>
    <w:rsid w:val="00103746"/>
    <w:rsid w:val="00113150"/>
    <w:rsid w:val="00114A37"/>
    <w:rsid w:val="0012137E"/>
    <w:rsid w:val="00133BBA"/>
    <w:rsid w:val="00143B7E"/>
    <w:rsid w:val="001551D9"/>
    <w:rsid w:val="001638E0"/>
    <w:rsid w:val="001736FC"/>
    <w:rsid w:val="0017709D"/>
    <w:rsid w:val="0017779D"/>
    <w:rsid w:val="001B0049"/>
    <w:rsid w:val="001B4109"/>
    <w:rsid w:val="001B4750"/>
    <w:rsid w:val="001C0230"/>
    <w:rsid w:val="00215672"/>
    <w:rsid w:val="00222B87"/>
    <w:rsid w:val="00252147"/>
    <w:rsid w:val="002556B8"/>
    <w:rsid w:val="002726C3"/>
    <w:rsid w:val="00276A7C"/>
    <w:rsid w:val="00282C83"/>
    <w:rsid w:val="002C420E"/>
    <w:rsid w:val="002D1CB7"/>
    <w:rsid w:val="002E488D"/>
    <w:rsid w:val="002E7676"/>
    <w:rsid w:val="002F6E85"/>
    <w:rsid w:val="00301D11"/>
    <w:rsid w:val="0030326D"/>
    <w:rsid w:val="0030539B"/>
    <w:rsid w:val="00307F5E"/>
    <w:rsid w:val="003153B3"/>
    <w:rsid w:val="00356C92"/>
    <w:rsid w:val="00360CF4"/>
    <w:rsid w:val="00374FB6"/>
    <w:rsid w:val="003930D0"/>
    <w:rsid w:val="00394AE6"/>
    <w:rsid w:val="003A1747"/>
    <w:rsid w:val="003C246D"/>
    <w:rsid w:val="003C3ADB"/>
    <w:rsid w:val="00455C8B"/>
    <w:rsid w:val="0045646F"/>
    <w:rsid w:val="00467702"/>
    <w:rsid w:val="00491348"/>
    <w:rsid w:val="004938CC"/>
    <w:rsid w:val="004B5086"/>
    <w:rsid w:val="004C59FA"/>
    <w:rsid w:val="004C79F0"/>
    <w:rsid w:val="004E7EB8"/>
    <w:rsid w:val="005202E4"/>
    <w:rsid w:val="00520EB4"/>
    <w:rsid w:val="005230D0"/>
    <w:rsid w:val="00526605"/>
    <w:rsid w:val="00530D0F"/>
    <w:rsid w:val="00532DB5"/>
    <w:rsid w:val="00572BD0"/>
    <w:rsid w:val="0057313F"/>
    <w:rsid w:val="005A13B3"/>
    <w:rsid w:val="005B1384"/>
    <w:rsid w:val="005B58A5"/>
    <w:rsid w:val="005C08FB"/>
    <w:rsid w:val="005F168E"/>
    <w:rsid w:val="005F257B"/>
    <w:rsid w:val="00607BD2"/>
    <w:rsid w:val="0061037E"/>
    <w:rsid w:val="00646190"/>
    <w:rsid w:val="00685E4B"/>
    <w:rsid w:val="006865D2"/>
    <w:rsid w:val="0069242A"/>
    <w:rsid w:val="00694B21"/>
    <w:rsid w:val="006953C3"/>
    <w:rsid w:val="006A73CC"/>
    <w:rsid w:val="006B56DA"/>
    <w:rsid w:val="006D2065"/>
    <w:rsid w:val="006D265D"/>
    <w:rsid w:val="006E4D91"/>
    <w:rsid w:val="006F67BC"/>
    <w:rsid w:val="00702D88"/>
    <w:rsid w:val="00702EB9"/>
    <w:rsid w:val="00722C19"/>
    <w:rsid w:val="007265BD"/>
    <w:rsid w:val="00754744"/>
    <w:rsid w:val="00764F76"/>
    <w:rsid w:val="00774884"/>
    <w:rsid w:val="007B67C2"/>
    <w:rsid w:val="00816FD1"/>
    <w:rsid w:val="00826C30"/>
    <w:rsid w:val="008406A3"/>
    <w:rsid w:val="0087016C"/>
    <w:rsid w:val="00873024"/>
    <w:rsid w:val="00880B73"/>
    <w:rsid w:val="008813BB"/>
    <w:rsid w:val="008B036E"/>
    <w:rsid w:val="008C258B"/>
    <w:rsid w:val="008C582B"/>
    <w:rsid w:val="008C7246"/>
    <w:rsid w:val="008E0419"/>
    <w:rsid w:val="008F0A3F"/>
    <w:rsid w:val="008F2F24"/>
    <w:rsid w:val="008F6D9A"/>
    <w:rsid w:val="009203BB"/>
    <w:rsid w:val="0093257B"/>
    <w:rsid w:val="00971962"/>
    <w:rsid w:val="00971E9E"/>
    <w:rsid w:val="00977E13"/>
    <w:rsid w:val="0098326F"/>
    <w:rsid w:val="00983E46"/>
    <w:rsid w:val="0099318F"/>
    <w:rsid w:val="0099397A"/>
    <w:rsid w:val="00994D92"/>
    <w:rsid w:val="009C27D6"/>
    <w:rsid w:val="009E455F"/>
    <w:rsid w:val="009F32B1"/>
    <w:rsid w:val="00A149DA"/>
    <w:rsid w:val="00A25EFA"/>
    <w:rsid w:val="00A33666"/>
    <w:rsid w:val="00A402A2"/>
    <w:rsid w:val="00A5662C"/>
    <w:rsid w:val="00A64D30"/>
    <w:rsid w:val="00AA0292"/>
    <w:rsid w:val="00AB13A5"/>
    <w:rsid w:val="00AB2364"/>
    <w:rsid w:val="00AC30D6"/>
    <w:rsid w:val="00AC4362"/>
    <w:rsid w:val="00AC6AE6"/>
    <w:rsid w:val="00AE0F69"/>
    <w:rsid w:val="00B05B05"/>
    <w:rsid w:val="00B12E7A"/>
    <w:rsid w:val="00B23207"/>
    <w:rsid w:val="00B3117A"/>
    <w:rsid w:val="00B51A11"/>
    <w:rsid w:val="00B550C6"/>
    <w:rsid w:val="00B7022F"/>
    <w:rsid w:val="00B802A4"/>
    <w:rsid w:val="00B80E70"/>
    <w:rsid w:val="00BA17AF"/>
    <w:rsid w:val="00BB2ACF"/>
    <w:rsid w:val="00BD51C9"/>
    <w:rsid w:val="00BD74A5"/>
    <w:rsid w:val="00C0045E"/>
    <w:rsid w:val="00C07736"/>
    <w:rsid w:val="00C444A6"/>
    <w:rsid w:val="00C93BFE"/>
    <w:rsid w:val="00CB5DAA"/>
    <w:rsid w:val="00CB7947"/>
    <w:rsid w:val="00CC0B95"/>
    <w:rsid w:val="00CC3911"/>
    <w:rsid w:val="00CE62DC"/>
    <w:rsid w:val="00D03E40"/>
    <w:rsid w:val="00D376F4"/>
    <w:rsid w:val="00D43597"/>
    <w:rsid w:val="00D44536"/>
    <w:rsid w:val="00D5169E"/>
    <w:rsid w:val="00D60F30"/>
    <w:rsid w:val="00D61D41"/>
    <w:rsid w:val="00D750D9"/>
    <w:rsid w:val="00D9352D"/>
    <w:rsid w:val="00D94A2C"/>
    <w:rsid w:val="00DA65D7"/>
    <w:rsid w:val="00DB4284"/>
    <w:rsid w:val="00DC1E89"/>
    <w:rsid w:val="00DE6CA6"/>
    <w:rsid w:val="00DE6DEB"/>
    <w:rsid w:val="00DF36FA"/>
    <w:rsid w:val="00E11C51"/>
    <w:rsid w:val="00E275C4"/>
    <w:rsid w:val="00E472E3"/>
    <w:rsid w:val="00E52E30"/>
    <w:rsid w:val="00E7154F"/>
    <w:rsid w:val="00E7349C"/>
    <w:rsid w:val="00E75667"/>
    <w:rsid w:val="00E835DD"/>
    <w:rsid w:val="00E84C34"/>
    <w:rsid w:val="00EA481A"/>
    <w:rsid w:val="00EC3A3B"/>
    <w:rsid w:val="00EC4500"/>
    <w:rsid w:val="00ED00F5"/>
    <w:rsid w:val="00ED25E1"/>
    <w:rsid w:val="00EE3B15"/>
    <w:rsid w:val="00EE637A"/>
    <w:rsid w:val="00EF2958"/>
    <w:rsid w:val="00F04122"/>
    <w:rsid w:val="00F17015"/>
    <w:rsid w:val="00F17206"/>
    <w:rsid w:val="00F53B63"/>
    <w:rsid w:val="00F77096"/>
    <w:rsid w:val="00FA026B"/>
    <w:rsid w:val="00FA12E0"/>
    <w:rsid w:val="00FA4CE2"/>
    <w:rsid w:val="00FA666F"/>
    <w:rsid w:val="00FB5293"/>
    <w:rsid w:val="00FE0DA2"/>
    <w:rsid w:val="00FF610C"/>
    <w:rsid w:val="0CD76672"/>
    <w:rsid w:val="16155EE8"/>
    <w:rsid w:val="17E526C0"/>
    <w:rsid w:val="230DADAE"/>
    <w:rsid w:val="37731C48"/>
    <w:rsid w:val="528CA701"/>
    <w:rsid w:val="5E58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7409"/>
    <o:shapelayout v:ext="edit">
      <o:idmap v:ext="edit" data="1"/>
    </o:shapelayout>
  </w:shapeDefaults>
  <w:decimalSymbol w:val="."/>
  <w:listSeparator w:val=","/>
  <w14:docId w14:val="24E9D203"/>
  <w15:chartTrackingRefBased/>
  <w15:docId w15:val="{B0129ED2-DD4B-4232-B3AA-EAA917A6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ListParagraph"/>
    <w:next w:val="Normal"/>
    <w:link w:val="Heading1Char1"/>
    <w:qFormat/>
    <w:rsid w:val="002726C3"/>
    <w:pPr>
      <w:ind w:left="90"/>
      <w:jc w:val="center"/>
      <w:outlineLvl w:val="0"/>
    </w:pPr>
    <w:rPr>
      <w:b/>
      <w:color w:val="991D20"/>
      <w:sz w:val="28"/>
      <w:szCs w:val="28"/>
    </w:rPr>
  </w:style>
  <w:style w:type="paragraph" w:styleId="Heading2">
    <w:name w:val="heading 2"/>
    <w:basedOn w:val="TPAClistnumbered1"/>
    <w:next w:val="Normal"/>
    <w:link w:val="Heading2Char"/>
    <w:qFormat/>
    <w:rsid w:val="002726C3"/>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2726C3"/>
    <w:rPr>
      <w:rFonts w:ascii="Arial" w:hAnsi="Arial"/>
      <w:b/>
      <w:color w:val="991D20"/>
      <w:sz w:val="28"/>
      <w:szCs w:val="28"/>
    </w:rPr>
  </w:style>
  <w:style w:type="character" w:customStyle="1" w:styleId="Heading2Char">
    <w:name w:val="Heading 2 Char"/>
    <w:link w:val="Heading2"/>
    <w:locked/>
    <w:rsid w:val="002726C3"/>
    <w:rPr>
      <w:rFonts w:ascii="Arial" w:hAnsi="Arial"/>
      <w:b/>
      <w:sz w:val="22"/>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link w:val="TPAClistlettered1Char"/>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qFormat/>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A402A2"/>
    <w:rPr>
      <w:rFonts w:ascii="Arial" w:hAnsi="Arial"/>
      <w:sz w:val="22"/>
    </w:rPr>
  </w:style>
  <w:style w:type="paragraph" w:customStyle="1" w:styleId="StyleTPAClistnumberedNotBold">
    <w:name w:val="Style TPAC_list_numbered + Not Bold"/>
    <w:basedOn w:val="TPAClistnumbered"/>
    <w:link w:val="StyleTPAClistnumberedNotBoldChar"/>
    <w:rsid w:val="0061037E"/>
    <w:pPr>
      <w:ind w:left="1080"/>
    </w:pPr>
    <w:rPr>
      <w:lang w:val="x-none" w:eastAsia="x-none"/>
    </w:rPr>
  </w:style>
  <w:style w:type="character" w:customStyle="1" w:styleId="StyleTPAClistnumberedNotBoldChar">
    <w:name w:val="Style TPAC_list_numbered + Not Bold Char"/>
    <w:link w:val="StyleTPAClistnumberedNotBold"/>
    <w:rsid w:val="0061037E"/>
    <w:rPr>
      <w:rFonts w:ascii="Arial" w:hAnsi="Arial"/>
      <w:b/>
      <w:sz w:val="22"/>
      <w:szCs w:val="21"/>
      <w:lang w:val="x-none" w:eastAsia="x-none" w:bidi="ar-SA"/>
    </w:rPr>
  </w:style>
  <w:style w:type="character" w:customStyle="1" w:styleId="TPAClistletteredChar">
    <w:name w:val="TPAC_list_lettered Char"/>
    <w:link w:val="TPAClistlettered"/>
    <w:rsid w:val="0061037E"/>
    <w:rPr>
      <w:rFonts w:ascii="Arial" w:hAnsi="Arial"/>
      <w:sz w:val="22"/>
      <w:lang w:bidi="ar-SA"/>
    </w:rPr>
  </w:style>
  <w:style w:type="paragraph" w:customStyle="1" w:styleId="StyleTPAClistbullet1Bold">
    <w:name w:val="Style TPAC_list_bullet1 + Bold"/>
    <w:basedOn w:val="TPAClistbullet1"/>
    <w:link w:val="StyleTPAClistbullet1BoldChar"/>
    <w:rsid w:val="0061037E"/>
    <w:pPr>
      <w:numPr>
        <w:numId w:val="19"/>
      </w:numPr>
    </w:pPr>
    <w:rPr>
      <w:b/>
      <w:bCs/>
    </w:rPr>
  </w:style>
  <w:style w:type="character" w:customStyle="1" w:styleId="StyleTPAClistbullet1BoldChar">
    <w:name w:val="Style TPAC_list_bullet1 + Bold Char"/>
    <w:link w:val="StyleTPAClistbullet1Bold"/>
    <w:rsid w:val="0061037E"/>
    <w:rPr>
      <w:rFonts w:ascii="Arial" w:hAnsi="Arial"/>
      <w:b/>
      <w:bCs/>
      <w:sz w:val="22"/>
      <w:szCs w:val="19"/>
      <w:lang w:val="en-US" w:eastAsia="en-US" w:bidi="ar-SA"/>
    </w:rPr>
  </w:style>
  <w:style w:type="paragraph" w:styleId="ListParagraph">
    <w:name w:val="List Paragraph"/>
    <w:basedOn w:val="Normal"/>
    <w:uiPriority w:val="34"/>
    <w:qFormat/>
    <w:rsid w:val="00E52E30"/>
    <w:pPr>
      <w:ind w:left="720"/>
    </w:pPr>
  </w:style>
  <w:style w:type="paragraph" w:customStyle="1" w:styleId="tpactextbody0">
    <w:name w:val="tpactextbody"/>
    <w:basedOn w:val="Normal"/>
    <w:rsid w:val="00E835DD"/>
    <w:pPr>
      <w:spacing w:before="100" w:beforeAutospacing="1" w:after="100" w:afterAutospacing="1" w:line="240" w:lineRule="auto"/>
      <w:ind w:left="0"/>
    </w:pPr>
    <w:rPr>
      <w:rFonts w:ascii="Times New Roman" w:eastAsia="Calibri" w:hAnsi="Times New Roman"/>
      <w:sz w:val="24"/>
      <w:szCs w:val="24"/>
    </w:rPr>
  </w:style>
  <w:style w:type="character" w:customStyle="1" w:styleId="TPAClistbullet1Char">
    <w:name w:val="TPAC_list_bullet1 Char"/>
    <w:locked/>
    <w:rsid w:val="00002EBD"/>
    <w:rPr>
      <w:rFonts w:ascii="Arial" w:hAnsi="Arial"/>
      <w:sz w:val="22"/>
      <w:lang w:val="x-none" w:eastAsia="x-none"/>
    </w:rPr>
  </w:style>
  <w:style w:type="character" w:customStyle="1" w:styleId="TPAClistlettered1Char">
    <w:name w:val="TPAC_list_lettered1 Char"/>
    <w:link w:val="TPAClistlettered1"/>
    <w:rsid w:val="00002EBD"/>
    <w:rPr>
      <w:rFonts w:ascii="Arial" w:hAnsi="Arial" w:cs="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ctfl.org/publications/all/world-readiness-standards-learning-langu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5cc534-c6c5-43aa-93b1-f87611cebbcb" xsi:nil="true"/>
    <Current_x0020_Status xmlns="42624004-2698-4349-b66f-f1fc1a8cedd1">DRAFT</Current_x0020_Status>
    <lcf76f155ced4ddcb4097134ff3c332f xmlns="42624004-2698-4349-b66f-f1fc1a8ced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9" ma:contentTypeDescription="Create a new document." ma:contentTypeScope="" ma:versionID="11cdb3d247455a2d697579a4bc987742">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0ba346b1b8c9cd8820aa722c32e98d38"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E09BE-EAA3-4F96-AAF9-9CF2C24BCB2C}">
  <ds:schemaRefs>
    <ds:schemaRef ds:uri="http://schemas.microsoft.com/office/2006/metadata/properties"/>
    <ds:schemaRef ds:uri="http://schemas.microsoft.com/office/infopath/2007/PartnerControls"/>
    <ds:schemaRef ds:uri="a85cc534-c6c5-43aa-93b1-f87611cebbcb"/>
    <ds:schemaRef ds:uri="42624004-2698-4349-b66f-f1fc1a8cedd1"/>
  </ds:schemaRefs>
</ds:datastoreItem>
</file>

<file path=customXml/itemProps2.xml><?xml version="1.0" encoding="utf-8"?>
<ds:datastoreItem xmlns:ds="http://schemas.openxmlformats.org/officeDocument/2006/customXml" ds:itemID="{D7A42579-1567-4B19-8BC2-21F45615D549}">
  <ds:schemaRefs>
    <ds:schemaRef ds:uri="http://schemas.microsoft.com/sharepoint/v3/contenttype/forms"/>
  </ds:schemaRefs>
</ds:datastoreItem>
</file>

<file path=customXml/itemProps3.xml><?xml version="1.0" encoding="utf-8"?>
<ds:datastoreItem xmlns:ds="http://schemas.openxmlformats.org/officeDocument/2006/customXml" ds:itemID="{EF84BFF0-585E-4CBD-AFB0-9EBB85141962}">
  <ds:schemaRefs>
    <ds:schemaRef ds:uri="http://schemas.openxmlformats.org/officeDocument/2006/bibliography"/>
  </ds:schemaRefs>
</ds:datastoreItem>
</file>

<file path=customXml/itemProps4.xml><?xml version="1.0" encoding="utf-8"?>
<ds:datastoreItem xmlns:ds="http://schemas.openxmlformats.org/officeDocument/2006/customXml" ds:itemID="{D3EF8870-90E8-46E8-B2CA-E718B932A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725</Words>
  <Characters>4237</Characters>
  <Application>Microsoft Office Word</Application>
  <DocSecurity>0</DocSecurity>
  <Lines>35</Lines>
  <Paragraphs>9</Paragraphs>
  <ScaleCrop>false</ScaleCrop>
  <Company>ES, Pearson</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Commentary Template</dc:title>
  <dc:subject>World Language</dc:subject>
  <dc:creator>Bunny Hathaway</dc:creator>
  <cp:keywords/>
  <dc:description>9</dc:description>
  <cp:lastModifiedBy>Kelly Gunther</cp:lastModifiedBy>
  <cp:revision>12</cp:revision>
  <cp:lastPrinted>2014-05-05T21:07:00Z</cp:lastPrinted>
  <dcterms:created xsi:type="dcterms:W3CDTF">2018-03-20T15:52:00Z</dcterms:created>
  <dcterms:modified xsi:type="dcterms:W3CDTF">2025-05-02T13:25:00Z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